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671F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2453A2E6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49ECB731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0615CFE5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77E4354A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3EA41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鸡环审〔202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39332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294F076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shd w:val="clear" w:color="auto" w:fill="auto"/>
        </w:rPr>
        <w:t>关</w:t>
      </w: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</w:rPr>
        <w:t>于</w:t>
      </w:r>
      <w:bookmarkStart w:id="0" w:name="_GoBack"/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黑龙江龙煤鸡西矿业有限责任公司</w:t>
      </w:r>
    </w:p>
    <w:p w14:paraId="2707D1B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平岗煤矿辅助提升系统改造项目</w:t>
      </w:r>
    </w:p>
    <w:bookmarkEnd w:id="0"/>
    <w:p w14:paraId="72CF74B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shd w:val="clear" w:color="auto" w:fill="auto"/>
        </w:rPr>
        <w:t>的批复</w:t>
      </w:r>
    </w:p>
    <w:p w14:paraId="78213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F74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黑龙江龙煤鸡西矿业有限责任公司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3F35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黑龙江龙煤鸡西矿业有限责任公司平岗煤矿辅助提升系统改造项目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5C17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一、项目基本情况</w:t>
      </w:r>
    </w:p>
    <w:p w14:paraId="63D2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该项目属新建工程，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拟建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于黑龙江省鸡西市梨树区，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本项目总用地面积151708.00㎡，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用地性质为工业用地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。项目新建一条副立井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及配套设施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平岗煤矿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入风、排矸、部分材料、上下人员使用，煤矿产能及其余井筒无变化，不涉及煤炭新增开采规模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。项目总投资36095.73万元，其中环保投资164.15万元。</w:t>
      </w:r>
    </w:p>
    <w:p w14:paraId="78E2D2F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黑龙江龙煤鸡西矿业有限责任公司平岗煤矿辅助提升系统改造项目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（以下简称《报告表》）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252C3F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项目建设的主要生态环境影响及保护措施</w:t>
      </w:r>
    </w:p>
    <w:p w14:paraId="3EE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大气环境影响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及保护措施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施工场地设置围挡，物料堆存进行苫盖，运输车辆采取篷布覆盖，进场道路以及场内道路及时清扫、洒水降尘，厂界颗粒物排放应符合《大气污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染物综合排放标准》（GB16297-1996）标准要求。运营期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矸石输送环节密闭，装车过程喷淋降尘，场地道路及时清扫、洒水抑尘，厂界颗粒物排放应符合《煤炭工业污染物排放标准》（GB20426-2006）要求。</w:t>
      </w:r>
    </w:p>
    <w:p w14:paraId="775B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）水环境影响及保护措施。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施工废水经沉淀后，回用于场地降尘。生活污水排入防渗旱厕，定期清掏，外运堆肥。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工业场地生产、消防用水、井下消防洒水等用水全部损耗，不排放。</w:t>
      </w:r>
    </w:p>
    <w:p w14:paraId="73F2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项目应严格落实地下水保护措施，油脂库地面及裙角采用2mm厚的高密度聚乙烯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防渗混凝土进行防渗处理，厂内其他区域按简单防渗区进行一般地面硬化。</w:t>
      </w:r>
    </w:p>
    <w:p w14:paraId="3254E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  <w:t>（三）声环境影响及保护措施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。施工过程应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选择低噪声设备，合理安排施工时间，噪声应符合《建筑施工噪声排放标准》（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GB12523-2025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）要求。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运营期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应选用低噪声设备，采取隔声、减振、消声等措施，厂界噪声应符合《工业企业厂界环境噪声排放标准》（GB12348-2008）中2类标准限值要求。</w:t>
      </w:r>
    </w:p>
    <w:p w14:paraId="0625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  <w:t>（四）固体废物环境影响及保护措施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施工过程产生的岩土部分用于地面工程填方，剩余部分用于周边道路垫道及地面治理使用。建筑垃圾中废弃的砖、石、夯块等作为地基的填筑料，各类包装箱、纸箱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统一运往废品站进行回收利用。生活垃圾送往生活垃圾指定堆放地点。运营产生的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矸石外运综合利用，用于井下充填、地面治理等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。废液压油桶暂存于主工业场地危险废物贮存库，委托有资质单位处置。</w:t>
      </w:r>
    </w:p>
    <w:p w14:paraId="09782A76">
      <w:pPr>
        <w:pStyle w:val="23"/>
        <w:spacing w:beforeAutospacing="0" w:afterAutospacing="0" w:line="560" w:lineRule="exact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  <w:t>（五）生态环境影响及保护措施。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施工过程中严格控制施工占地，不能超出用地要求界限。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施工道路优先选择利用场内现有道路，不得乱占乱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压。剥离表土单独堆放，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应进行密目网苫盖及编织袋围挡，减少水土流失。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在施工结束后，及时对本工程占地区域进行土地平整和表土覆盖，并采取植被恢复措施，加强区域植被建设。</w:t>
      </w:r>
    </w:p>
    <w:p w14:paraId="08BD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）环境风险及保护措施。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项目应严格落实《报告表》中提出的风险防范措施，编制环境风险应急预案，加强风险点位预警、预防，防止风险事故发生。</w:t>
      </w:r>
    </w:p>
    <w:p w14:paraId="36BB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履行排污许可手续。项目建成后，应按规定程序实施竣工环境保护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259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报告表》经批准后，项目的性质、规模、地点或者污染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措施发生重大变动的，应当重新报批该项目的《报告表》。自《报告表》批复文件批准之日起，如超过5年方决定开工建设的，《报告表》应当重新审核。</w:t>
      </w:r>
    </w:p>
    <w:p w14:paraId="033CD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生态环境局，并按规定接受各级生态环境主管部门的日常监督检查。</w:t>
      </w:r>
      <w:r>
        <w:rPr>
          <w:rFonts w:hint="default"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</w:p>
    <w:p w14:paraId="3046CC2C">
      <w:pPr>
        <w:pStyle w:val="12"/>
        <w:keepNext w:val="0"/>
        <w:keepLines w:val="0"/>
        <w:pageBreakBefore w:val="0"/>
        <w:widowControl/>
        <w:suppressLineNumbers w:val="0"/>
        <w:suppressAutoHyphens w:val="0"/>
        <w:ind w:left="0" w:firstLine="0"/>
        <w:rPr>
          <w:rFonts w:hint="default" w:ascii="Times New Roman" w:hAnsi="Times New Roman" w:cs="Times New Roman"/>
        </w:rPr>
      </w:pPr>
    </w:p>
    <w:p w14:paraId="08A92300">
      <w:pPr>
        <w:keepNext w:val="0"/>
        <w:keepLines w:val="0"/>
        <w:pageBreakBefore w:val="0"/>
        <w:widowControl w:val="0"/>
        <w:suppressLineNumbers w:val="0"/>
        <w:suppressAutoHyphens w:val="0"/>
        <w:rPr>
          <w:rFonts w:hint="default" w:ascii="Times New Roman" w:hAnsi="Times New Roman" w:cs="Times New Roman"/>
        </w:rPr>
      </w:pPr>
    </w:p>
    <w:p w14:paraId="0A0F9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21A309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jc w:val="left"/>
        <w:rPr>
          <w:rFonts w:hint="default" w:ascii="Times New Roman" w:hAnsi="Times New Roman" w:cs="Times New Roman"/>
        </w:rPr>
      </w:pPr>
    </w:p>
    <w:p w14:paraId="434DF264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jc w:val="both"/>
        <w:rPr>
          <w:rFonts w:hint="default" w:ascii="Times New Roman" w:hAnsi="Times New Roman" w:cs="Times New Roman"/>
        </w:rPr>
      </w:pPr>
    </w:p>
    <w:p w14:paraId="2EDF55B1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jc w:val="left"/>
        <w:rPr>
          <w:rFonts w:hint="default" w:ascii="Times New Roman" w:hAnsi="Times New Roman" w:cs="Times New Roman"/>
        </w:rPr>
      </w:pPr>
    </w:p>
    <w:p w14:paraId="70DB7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</w:t>
      </w:r>
    </w:p>
    <w:p w14:paraId="795E9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F77769B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ind w:left="0" w:firstLine="0"/>
        <w:rPr>
          <w:rFonts w:hint="default" w:ascii="Times New Roman" w:hAnsi="Times New Roman" w:cs="Times New Roman"/>
        </w:rPr>
      </w:pPr>
    </w:p>
    <w:p w14:paraId="0C272D78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35ACE8A">
      <w:pPr>
        <w:rPr>
          <w:rFonts w:hint="default" w:ascii="Times New Roman" w:hAnsi="Times New Roman" w:cs="Times New Roman"/>
        </w:rPr>
      </w:pPr>
    </w:p>
    <w:p w14:paraId="0532465B">
      <w:pPr>
        <w:pStyle w:val="12"/>
        <w:rPr>
          <w:rFonts w:hint="default" w:ascii="Times New Roman" w:hAnsi="Times New Roman" w:cs="Times New Roman"/>
        </w:rPr>
      </w:pPr>
    </w:p>
    <w:p w14:paraId="742C3B88">
      <w:pPr>
        <w:rPr>
          <w:rFonts w:hint="default" w:ascii="Times New Roman" w:hAnsi="Times New Roman" w:cs="Times New Roman"/>
        </w:rPr>
      </w:pPr>
    </w:p>
    <w:p w14:paraId="2103D372">
      <w:pPr>
        <w:pStyle w:val="12"/>
        <w:rPr>
          <w:rFonts w:hint="default" w:ascii="Times New Roman" w:hAnsi="Times New Roman" w:cs="Times New Roman"/>
        </w:rPr>
      </w:pPr>
    </w:p>
    <w:p w14:paraId="24750EF5">
      <w:pPr>
        <w:rPr>
          <w:rFonts w:hint="default" w:ascii="Times New Roman" w:hAnsi="Times New Roman" w:cs="Times New Roman"/>
        </w:rPr>
      </w:pPr>
    </w:p>
    <w:p w14:paraId="6161FF96">
      <w:pPr>
        <w:pStyle w:val="2"/>
        <w:rPr>
          <w:rFonts w:hint="default" w:ascii="Times New Roman" w:hAnsi="Times New Roman" w:cs="Times New Roman"/>
        </w:rPr>
      </w:pPr>
    </w:p>
    <w:p w14:paraId="3728FEBA">
      <w:pPr>
        <w:rPr>
          <w:rFonts w:hint="default" w:ascii="Times New Roman" w:hAnsi="Times New Roman" w:cs="Times New Roman"/>
        </w:rPr>
      </w:pPr>
    </w:p>
    <w:p w14:paraId="440BAB0D">
      <w:pPr>
        <w:pStyle w:val="2"/>
        <w:rPr>
          <w:rFonts w:hint="default" w:ascii="Times New Roman" w:hAnsi="Times New Roman" w:cs="Times New Roman"/>
        </w:rPr>
      </w:pPr>
    </w:p>
    <w:p w14:paraId="12B1A929">
      <w:pPr>
        <w:rPr>
          <w:rFonts w:hint="default"/>
        </w:rPr>
      </w:pPr>
    </w:p>
    <w:p w14:paraId="7005486C">
      <w:pPr>
        <w:pStyle w:val="12"/>
        <w:rPr>
          <w:rFonts w:hint="default" w:ascii="Times New Roman" w:hAnsi="Times New Roman" w:cs="Times New Roman"/>
        </w:rPr>
      </w:pPr>
    </w:p>
    <w:p w14:paraId="67DF85DF">
      <w:pPr>
        <w:rPr>
          <w:rFonts w:hint="default" w:ascii="Times New Roman" w:hAnsi="Times New Roman" w:cs="Times New Roman"/>
        </w:rPr>
      </w:pPr>
    </w:p>
    <w:p w14:paraId="7474718C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261DD9BD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鸡西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市梨树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</w:t>
      </w:r>
    </w:p>
    <w:p w14:paraId="121453F0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</w:t>
      </w:r>
    </w:p>
    <w:p w14:paraId="170D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1FC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9983C3B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9983C3B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C31E2"/>
    <w:multiLevelType w:val="singleLevel"/>
    <w:tmpl w:val="DFFC31E2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2F6642CB"/>
    <w:multiLevelType w:val="singleLevel"/>
    <w:tmpl w:val="2F664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26305F6"/>
    <w:rsid w:val="16ADB038"/>
    <w:rsid w:val="1D79498D"/>
    <w:rsid w:val="24AD42C8"/>
    <w:rsid w:val="2FDDA564"/>
    <w:rsid w:val="32DF1C9A"/>
    <w:rsid w:val="3AEB541F"/>
    <w:rsid w:val="5BF82E46"/>
    <w:rsid w:val="5FD36834"/>
    <w:rsid w:val="6BFDB92B"/>
    <w:rsid w:val="6F8389DD"/>
    <w:rsid w:val="77DF75B1"/>
    <w:rsid w:val="78FC1A15"/>
    <w:rsid w:val="7DF5B1B7"/>
    <w:rsid w:val="9F7F5CB5"/>
    <w:rsid w:val="B40D77AC"/>
    <w:rsid w:val="BEFE0F26"/>
    <w:rsid w:val="CB66E200"/>
    <w:rsid w:val="EE9E1132"/>
    <w:rsid w:val="EFD56F21"/>
    <w:rsid w:val="F3AD0ED9"/>
    <w:rsid w:val="F3EF6B70"/>
    <w:rsid w:val="FECD8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next w:val="4"/>
    <w:qFormat/>
    <w:uiPriority w:val="0"/>
    <w:rPr>
      <w:spacing w:val="22"/>
      <w:sz w:val="24"/>
      <w:szCs w:val="24"/>
    </w:r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Body Text First Indent 2"/>
    <w:basedOn w:val="9"/>
    <w:qFormat/>
    <w:uiPriority w:val="0"/>
    <w:pPr>
      <w:ind w:firstLine="420"/>
    </w:pPr>
  </w:style>
  <w:style w:type="character" w:customStyle="1" w:styleId="17">
    <w:name w:val="heading 1 Char"/>
    <w:basedOn w:val="16"/>
    <w:link w:val="5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6"/>
    <w:link w:val="6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6"/>
    <w:link w:val="7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21">
    <w:name w:val="List Paragraph"/>
    <w:basedOn w:val="1"/>
    <w:qFormat/>
    <w:uiPriority w:val="0"/>
    <w:pPr>
      <w:ind w:firstLine="200" w:firstLineChars="200"/>
    </w:pPr>
  </w:style>
  <w:style w:type="paragraph" w:customStyle="1" w:styleId="22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  <w:style w:type="paragraph" w:customStyle="1" w:styleId="23">
    <w:name w:val="a正文"/>
    <w:basedOn w:val="24"/>
    <w:qFormat/>
    <w:uiPriority w:val="0"/>
    <w:pPr>
      <w:spacing w:line="520" w:lineRule="exact"/>
      <w:ind w:firstLine="200" w:firstLineChars="200"/>
    </w:pPr>
    <w:rPr>
      <w:kern w:val="0"/>
      <w:sz w:val="24"/>
      <w:szCs w:val="21"/>
    </w:rPr>
  </w:style>
  <w:style w:type="paragraph" w:customStyle="1" w:styleId="24">
    <w:name w:val="正文格式"/>
    <w:basedOn w:val="1"/>
    <w:qFormat/>
    <w:uiPriority w:val="0"/>
    <w:pPr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b06f71e7-3ed1-4238-b3cc-2111bd86f41a</errorID>
      <errorWord xmlns="http://schemas.wps.cn/vas-ai-hub/contract-review">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63D22AB6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2a93f128-d8cb-4c78-a42b-6fe98ba3facb</errorID>
      <errorWord xmlns="http://schemas.wps.cn/vas-ai-hub/contract-review">作为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供</item>
      </candidateList>
      <explain xmlns="http://schemas.wps.cn/vas-ai-hub/contract-review"/>
      <paraID xmlns="http://schemas.wps.cn/vas-ai-hub/contract-review">63D22AB6</paraID>
      <start xmlns="http://schemas.wps.cn/vas-ai-hub/contract-review">142</start>
      <end xmlns="http://schemas.wps.cn/vas-ai-hub/contract-review">143</end>
      <status xmlns="http://schemas.wps.cn/vas-ai-hub/contract-review">modified</status>
      <modifiedWord xmlns="http://schemas.wps.cn/vas-ai-hub/contract-review">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a8bc8568-a6e1-492b-bfe7-9fecf639a416</errorID>
      <errorWord xmlns="http://schemas.wps.cn/vas-ai-hub/contract-review">部分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运送部分</item>
      </candidateList>
      <explain xmlns="http://schemas.wps.cn/vas-ai-hub/contract-review"/>
      <paraID xmlns="http://schemas.wps.cn/vas-ai-hub/contract-review">63D22AB6</paraID>
      <start xmlns="http://schemas.wps.cn/vas-ai-hub/contract-review">153</start>
      <end xmlns="http://schemas.wps.cn/vas-ai-hub/contract-review">155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50b21b8f-b2d7-4e8b-9eff-7f6280e0af62</errorID>
      <errorWord xmlns="http://schemas.wps.cn/vas-ai-hub/contract-review">纸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纸箱</item>
      </candidateList>
      <explain xmlns="http://schemas.wps.cn/vas-ai-hub/contract-review"/>
      <paraID xmlns="http://schemas.wps.cn/vas-ai-hub/contract-review">4EB333FC</paraID>
      <start xmlns="http://schemas.wps.cn/vas-ai-hub/contract-review">270</start>
      <end xmlns="http://schemas.wps.cn/vas-ai-hub/contract-review">272</end>
      <status xmlns="http://schemas.wps.cn/vas-ai-hub/contract-review">modified</status>
      <modifiedWord xmlns="http://schemas.wps.cn/vas-ai-hub/contract-review">纸箱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0c6f8c59-32e6-449c-8454-8df10e6b45fc</errorID>
      <errorWord xmlns="http://schemas.wps.cn/vas-ai-hub/contract-review">GB12348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GB 12348</item>
      </candidateList>
      <explain xmlns="http://schemas.wps.cn/vas-ai-hub/contract-review"/>
      <paraID xmlns="http://schemas.wps.cn/vas-ai-hub/contract-review">3254E41D</paraID>
      <start xmlns="http://schemas.wps.cn/vas-ai-hub/contract-review">63</start>
      <end xmlns="http://schemas.wps.cn/vas-ai-hub/contract-review">70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3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0527c-3e44-4e61-a9d1-228b358667df}">
  <ds:schemaRefs/>
</ds:datastoreItem>
</file>

<file path=customXml/itemProps3.xml><?xml version="1.0" encoding="utf-8"?>
<ds:datastoreItem xmlns:ds="http://schemas.openxmlformats.org/officeDocument/2006/customXml" ds:itemID="{039D5603-4914-4C7A-AB44-3528050B5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1615</Words>
  <Characters>1732</Characters>
  <Lines>0</Lines>
  <Paragraphs>42</Paragraphs>
  <TotalTime>8</TotalTime>
  <ScaleCrop>false</ScaleCrop>
  <LinksUpToDate>false</LinksUpToDate>
  <CharactersWithSpaces>1800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2024-08-13T03:25:00Z</dcterms:created>
  <dc:creator>01</dc:creator>
  <cp:lastModifiedBy>greatwall</cp:lastModifiedBy>
  <cp:lastPrinted>2026-06-30T08:22:42Z</cp:lastPrinted>
  <dcterms:modified xsi:type="dcterms:W3CDTF">2026-06-30T08:28:47Z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6B2D7B7942862574D3F3396AF73BF9EF_43</vt:lpwstr>
  </property>
  <property fmtid="{D5CDD505-2E9C-101B-9397-08002B2CF9AE}" pid="4" name="KSOTemplateDocerSaveRecord">
    <vt:lpwstr>eyJoZGlkIjoiNGVhOGQwYzU0ZTJmY2IwNmY3MjkzM2VmMmQwNmNmZWUiLCJ1c2VySWQiOiIzMDQ1NDE3MjYifQ==</vt:lpwstr>
  </property>
</Properties>
</file>